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A9" w:rsidRDefault="00D72DA9" w:rsidP="00D72DA9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Статья 9.22. КоАП РФ -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</w:r>
    </w:p>
    <w:p w:rsidR="00D72DA9" w:rsidRDefault="00D72DA9" w:rsidP="00D72DA9">
      <w:pPr>
        <w:jc w:val="both"/>
      </w:pPr>
    </w:p>
    <w:p w:rsidR="00D72DA9" w:rsidRDefault="00D72DA9" w:rsidP="00D72DA9">
      <w:pPr>
        <w:jc w:val="both"/>
      </w:pPr>
      <w:r>
        <w:t xml:space="preserve">1. </w:t>
      </w:r>
      <w:proofErr w:type="gramStart"/>
      <w:r>
        <w:t xml:space="preserve">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обстоятельств, послуживших </w:t>
      </w:r>
      <w:hyperlink r:id="rId5" w:history="1">
        <w:r>
          <w:rPr>
            <w:rStyle w:val="a3"/>
          </w:rPr>
          <w:t>основанием</w:t>
        </w:r>
      </w:hyperlink>
      <w:r>
        <w:t xml:space="preserve"> для введения такого ограничения, невыполнение потребителем электрической энергии требования о самостоятельном ограничении режима потребления электрической энергии, предъявленного ему в соответствии с установленным законодательством об электроэнергетике </w:t>
      </w:r>
      <w:hyperlink r:id="rId6" w:history="1">
        <w:r>
          <w:rPr>
            <w:rStyle w:val="a3"/>
          </w:rPr>
          <w:t>порядком</w:t>
        </w:r>
      </w:hyperlink>
      <w:r>
        <w:t xml:space="preserve"> полного и (или) частичного ограничения режима потребления электрической энергии, либо необеспечение потребителем электрической</w:t>
      </w:r>
      <w:proofErr w:type="gramEnd"/>
      <w:r>
        <w:t xml:space="preserve"> энергии в предусмотренных указанным </w:t>
      </w:r>
      <w:hyperlink r:id="rId7" w:history="1">
        <w:r>
          <w:rPr>
            <w:rStyle w:val="a3"/>
          </w:rPr>
          <w:t>порядком</w:t>
        </w:r>
      </w:hyperlink>
      <w:r>
        <w:t xml:space="preserve"> случаях доступа представителей сетевой организации или иного лица, обязанного осуществлять действия по введению ограничения режима потребления электрической энергии, к принадлежащим потребителю </w:t>
      </w:r>
      <w:proofErr w:type="spellStart"/>
      <w:r>
        <w:t>энергопринимающим</w:t>
      </w:r>
      <w:proofErr w:type="spellEnd"/>
      <w:r>
        <w:t xml:space="preserve"> устройствам -</w:t>
      </w:r>
    </w:p>
    <w:p w:rsidR="00D72DA9" w:rsidRDefault="00D72DA9" w:rsidP="00D72DA9">
      <w:pPr>
        <w:jc w:val="both"/>
      </w:pPr>
      <w:r>
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:rsidR="00D72DA9" w:rsidRDefault="00D72DA9" w:rsidP="00D72DA9">
      <w:pPr>
        <w:jc w:val="both"/>
      </w:pPr>
      <w:r>
        <w:t xml:space="preserve">2. </w:t>
      </w:r>
      <w:proofErr w:type="gramStart"/>
      <w:r>
        <w:t>Невыполнение сетевой организацией или иным лицом,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энергии, требований о введении такого ограничения (за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режима) или требований о выполнении организационно-технических мероприятий, которые необходимы для возобновления снабжения электрической энергией потребителя</w:t>
      </w:r>
      <w:proofErr w:type="gramEnd"/>
      <w:r>
        <w:t xml:space="preserve">, </w:t>
      </w:r>
      <w:proofErr w:type="gramStart"/>
      <w:r>
        <w:t xml:space="preserve">предъявленных в соответствии с установленным законодательством об электроэнергетике </w:t>
      </w:r>
      <w:hyperlink r:id="rId8" w:history="1">
        <w:r>
          <w:rPr>
            <w:rStyle w:val="a3"/>
          </w:rPr>
          <w:t>порядком</w:t>
        </w:r>
      </w:hyperlink>
      <w:r>
        <w:t xml:space="preserve"> полного и (или) частичного ограничения режима потребления электрической энергии, при отсутствии предусмотренных указанным порядком обстоятельств, препятствующих введению такого ограничения или возобновлению режима потребления электрической энергии, -</w:t>
      </w:r>
      <w:proofErr w:type="gramEnd"/>
    </w:p>
    <w:p w:rsidR="00D72DA9" w:rsidRDefault="00D72DA9" w:rsidP="00D72DA9">
      <w:pPr>
        <w:jc w:val="both"/>
      </w:pPr>
      <w:r>
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:rsidR="00D72DA9" w:rsidRDefault="00D72DA9" w:rsidP="00D72DA9">
      <w:pPr>
        <w:jc w:val="both"/>
      </w:pPr>
      <w:r>
        <w:t xml:space="preserve">3. </w:t>
      </w:r>
      <w:proofErr w:type="gramStart"/>
      <w:r>
        <w:t xml:space="preserve">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</w:t>
      </w:r>
      <w:hyperlink r:id="rId9" w:history="1">
        <w:r>
          <w:rPr>
            <w:rStyle w:val="a3"/>
          </w:rPr>
          <w:t>порядке</w:t>
        </w:r>
      </w:hyperlink>
      <w:r>
        <w:t xml:space="preserve">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-</w:t>
      </w:r>
      <w:proofErr w:type="gramEnd"/>
    </w:p>
    <w:p w:rsidR="00D72DA9" w:rsidRDefault="00D72DA9" w:rsidP="00D72DA9">
      <w:pPr>
        <w:jc w:val="both"/>
      </w:pPr>
      <w:r>
        <w:t>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:rsidR="00D72DA9" w:rsidRDefault="00D72DA9" w:rsidP="00D72DA9">
      <w:pPr>
        <w:jc w:val="both"/>
      </w:pPr>
      <w:r>
        <w:t xml:space="preserve">4. </w:t>
      </w:r>
      <w:proofErr w:type="gramStart"/>
      <w:r>
        <w:t xml:space="preserve">Нарушение потребителем электрической энергии или субъектом электроэнергетики установленных </w:t>
      </w:r>
      <w:hyperlink r:id="rId10" w:history="1">
        <w:r>
          <w:rPr>
            <w:rStyle w:val="a3"/>
          </w:rPr>
          <w:t>законодательством</w:t>
        </w:r>
      </w:hyperlink>
      <w:r>
        <w:t xml:space="preserve"> об электроэнергетике требований о составлении актов согласования технологической и (или) аварийной брони и направлении их для подписания в сетевую организацию или иному лицу, к объектам электросетевого хозяйства (энергетическим установкам) которых осуществляется (осуществлено)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устройств, объектов электроэнергетики указанного потребителя электрической энергии или субъекта электроэнергетики, либо нарушение сетевой организацией или иным</w:t>
      </w:r>
      <w:proofErr w:type="gramEnd"/>
      <w:r>
        <w:t xml:space="preserve"> лицом, к объектам электросетевого хозяйства (энергетическим установкам) которых осуществляется (осуществлено) технологическое присоединение, сроков и порядка согласования уровня технологической и (или) аварийной брони -</w:t>
      </w:r>
    </w:p>
    <w:p w:rsidR="00D72DA9" w:rsidRDefault="00D72DA9" w:rsidP="00D72DA9">
      <w:pPr>
        <w:jc w:val="both"/>
      </w:pPr>
      <w:r>
        <w:lastRenderedPageBreak/>
        <w:t>влечет наложение административного штрафа на должностных лиц в размере от десяти тысяч до ста тысяч рублей; на юридических лиц - от ста тысяч до двухсот тысяч рублей.</w:t>
      </w:r>
    </w:p>
    <w:p w:rsidR="00D72DA9" w:rsidRDefault="00D72DA9" w:rsidP="00D72DA9">
      <w:pPr>
        <w:jc w:val="both"/>
      </w:pPr>
    </w:p>
    <w:p w:rsidR="0047409E" w:rsidRDefault="0047409E" w:rsidP="00D72DA9">
      <w:pPr>
        <w:jc w:val="both"/>
      </w:pPr>
    </w:p>
    <w:sectPr w:rsidR="0047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A9"/>
    <w:rsid w:val="000F3BE1"/>
    <w:rsid w:val="0047409E"/>
    <w:rsid w:val="00D72DA9"/>
    <w:rsid w:val="00D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A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A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BB13DD52CB4013BC45A641C0A49B6649FF654CD07E4D3FD16D5FE3EFCAF5C6EA6E561D3ED04E7DAC9ADC4A86CD895EE295D9648358FF2F0N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5BB13DD52CB4013BC45A641C0A49B6649FF654CD07E4D3FD16D5FE3EFCAF5C6EA6E561D3ED04ECDEC9ADC4A86CD895EE295D9648358FF2F0N6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BB13DD52CB4013BC45A641C0A49B6649FF654CD07E4D3FD16D5FE3EFCAF5C6EA6E561D3ED04E3D3C9ADC4A86CD895EE295D9648358FF2F0N6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35BB13DD52CB4013BC45A641C0A49B6649FF654CD07E4D3FD16D5FE3EFCAF5C6EA6E561D3ED04E7DEC9ADC4A86CD895EE295D9648358FF2F0N6N" TargetMode="External"/><Relationship Id="rId10" Type="http://schemas.openxmlformats.org/officeDocument/2006/relationships/hyperlink" Target="consultantplus://offline/ref=135BB13DD52CB4013BC45A641C0A49B6649FF654CC0DE4D3FD16D5FE3EFCAF5C6EA6E561D3ED07ECD2C9ADC4A86CD895EE295D9648358FF2F0N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5BB13DD52CB4013BC45A641C0A49B6649FF654CD07E4D3FD16D5FE3EFCAF5C6EA6E561D3ED04E7DAC9ADC4A86CD895EE295D9648358FF2F0N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gridneva-oi</dc:creator>
  <cp:lastModifiedBy>gridneva-oi</cp:lastModifiedBy>
  <cp:revision>2</cp:revision>
  <dcterms:created xsi:type="dcterms:W3CDTF">2023-01-30T06:14:00Z</dcterms:created>
  <dcterms:modified xsi:type="dcterms:W3CDTF">2023-01-30T06:14:00Z</dcterms:modified>
</cp:coreProperties>
</file>